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4251A6">
        <w:rPr>
          <w:rFonts w:ascii="Arial" w:eastAsia="Times New Roman" w:hAnsi="Arial" w:cs="Arial"/>
          <w:b/>
          <w:bCs/>
          <w:color w:val="95B639"/>
          <w:lang w:eastAsia="ru-RU"/>
        </w:rPr>
        <w:t>Закон Челябинской области от 30.04.2009 г. № 418-ЗО «Об установлении налоговой ставки при применении упрощенной системы налогообложения на территории Челябинской области»</w:t>
      </w:r>
    </w:p>
    <w:p w:rsidR="004251A6" w:rsidRPr="004251A6" w:rsidRDefault="004251A6" w:rsidP="004251A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4251A6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Статья 1. Общие положения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в соответствии с пунктом 2 статьи 346.20 Налогового кодекса Российской Федерации устанавливает налоговую ставку при применении упрощенной системы налогообложения на территории Челябинской области для организаций и индивидуальных предпринимателей, у которых объектом налогообложения являются доходы, уменьшенные на величину расходов.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Статья 2. Налоговая ставка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Налоговая ставка устанавливается в размере 10 процентов для организаций и индивидуальных предпринимателей, осуществляющих следующие виды деятельности: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    обрабатывающие производства (кроме производства подакцизных товаров);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    производство изделий народных художественных промыслов и ремесленных изделий;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    строительство зданий и сооружений;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    инновационная деятельность (деятельность в области научных исследований и разработок);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    сельское хозяйство, рыболовство, рыбоводство;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    здравоохранение, образование и предоставление социальных услуг;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    жилищно-коммунальные услуги, предоставляемые населению;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8)    услуги по организации внутреннего туризма, физической культуры и спорта.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Налоговая ставка, указанная в настоящей статье,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данным видам деятельности составила не менее 70 процентов в общем объеме доходов от реализации товаров (работ, услуг).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Статья 3. Вступление в силу настоящего Закона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4251A6" w:rsidRPr="004251A6" w:rsidRDefault="004251A6" w:rsidP="004251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4251A6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 Челябинской области                                                                            П.И.Сумин</w:t>
      </w:r>
    </w:p>
    <w:p w:rsidR="00CD411D" w:rsidRDefault="004251A6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26"/>
    <w:rsid w:val="00192D26"/>
    <w:rsid w:val="004251A6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347A-7D44-4A69-BCA2-DF364B6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2016-12-22T04:40:00Z</dcterms:created>
  <dcterms:modified xsi:type="dcterms:W3CDTF">2016-12-22T04:40:00Z</dcterms:modified>
</cp:coreProperties>
</file>